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6F" w:rsidRPr="00434066" w:rsidRDefault="000B29C7" w:rsidP="00EA2414">
      <w:pPr>
        <w:pStyle w:val="Body"/>
        <w:shd w:val="clear" w:color="auto" w:fill="6DC037"/>
        <w:rPr>
          <w:rFonts w:ascii="微軟正黑體" w:eastAsia="微軟正黑體" w:hAnsi="微軟正黑體" w:hint="default"/>
          <w:b/>
          <w:bCs/>
          <w:color w:val="FFFFFF" w:themeColor="background1"/>
          <w:sz w:val="36"/>
          <w:szCs w:val="36"/>
          <w:shd w:val="clear" w:color="auto" w:fill="6EC038" w:themeFill="accent2"/>
        </w:rPr>
      </w:pPr>
      <w:r>
        <w:rPr>
          <w:rFonts w:ascii="微軟正黑體" w:eastAsia="微軟正黑體" w:hAnsi="微軟正黑體"/>
          <w:b/>
          <w:bCs/>
          <w:color w:val="FFFFFF" w:themeColor="background1"/>
          <w:sz w:val="36"/>
          <w:szCs w:val="36"/>
          <w:shd w:val="clear" w:color="auto" w:fill="6EC038" w:themeFill="accent2"/>
        </w:rPr>
        <w:t>政府處理及減少廚餘的</w:t>
      </w:r>
      <w:bookmarkStart w:id="0" w:name="_GoBack"/>
      <w:bookmarkEnd w:id="0"/>
      <w:r w:rsidR="007D6326" w:rsidRPr="00EA2414">
        <w:rPr>
          <w:rFonts w:ascii="微軟正黑體" w:eastAsia="微軟正黑體" w:hAnsi="微軟正黑體"/>
          <w:b/>
          <w:bCs/>
          <w:color w:val="FEFEFE"/>
          <w:sz w:val="36"/>
          <w:szCs w:val="36"/>
        </w:rPr>
        <w:t>方法</w:t>
      </w:r>
    </w:p>
    <w:p w:rsidR="00D0766F" w:rsidRPr="00BB0B2C" w:rsidRDefault="00427EFD">
      <w:pPr>
        <w:pStyle w:val="Body"/>
        <w:rPr>
          <w:rFonts w:ascii="微軟正黑體" w:eastAsia="微軟正黑體" w:hAnsi="微軟正黑體" w:hint="default"/>
          <w:sz w:val="24"/>
          <w:szCs w:val="24"/>
        </w:rPr>
      </w:pPr>
      <w:r>
        <w:rPr>
          <w:rFonts w:ascii="微軟正黑體" w:eastAsia="微軟正黑體" w:hAnsi="微軟正黑體"/>
          <w:sz w:val="24"/>
          <w:szCs w:val="24"/>
        </w:rPr>
        <w:t>參考資料 (</w:t>
      </w:r>
      <w:r w:rsidR="002B3788" w:rsidRPr="00687696">
        <w:rPr>
          <w:rFonts w:ascii="微軟正黑體" w:eastAsia="微軟正黑體" w:hAnsi="微軟正黑體"/>
          <w:sz w:val="24"/>
          <w:szCs w:val="24"/>
        </w:rPr>
        <w:t>資料</w:t>
      </w:r>
      <w:r>
        <w:rPr>
          <w:rFonts w:ascii="微軟正黑體" w:eastAsia="微軟正黑體" w:hAnsi="微軟正黑體"/>
          <w:sz w:val="24"/>
          <w:szCs w:val="24"/>
        </w:rPr>
        <w:t>來源</w:t>
      </w:r>
      <w:r w:rsidR="00BB0B2C" w:rsidRPr="00BB0B2C">
        <w:rPr>
          <w:rFonts w:ascii="微軟正黑體" w:eastAsia="微軟正黑體" w:hAnsi="微軟正黑體"/>
          <w:sz w:val="24"/>
          <w:szCs w:val="24"/>
        </w:rPr>
        <w:t>：綜合環境局網頁</w:t>
      </w:r>
      <w:r w:rsidR="00BB0B2C" w:rsidRPr="00A42937">
        <w:rPr>
          <w:rFonts w:ascii="微軟正黑體" w:eastAsia="微軟正黑體" w:hAnsi="微軟正黑體" w:cs="Arial"/>
          <w:color w:val="000000" w:themeColor="text1"/>
          <w:sz w:val="24"/>
          <w:szCs w:val="24"/>
          <w:shd w:val="clear" w:color="auto" w:fill="FFFFFF"/>
        </w:rPr>
        <w:t>www.enb.gov.hk/tc/</w:t>
      </w:r>
      <w:r w:rsidRPr="00427EFD">
        <w:rPr>
          <w:rFonts w:ascii="微軟正黑體" w:eastAsia="微軟正黑體" w:hAnsi="微軟正黑體" w:cs="Arial"/>
          <w:color w:val="000000" w:themeColor="text1"/>
          <w:sz w:val="24"/>
          <w:szCs w:val="24"/>
          <w:shd w:val="clear" w:color="auto" w:fill="FFFFFF"/>
        </w:rPr>
        <w:t>)</w:t>
      </w:r>
    </w:p>
    <w:p w:rsidR="002B3788" w:rsidRPr="00C8291E" w:rsidRDefault="002B3788">
      <w:pPr>
        <w:pStyle w:val="Body"/>
        <w:rPr>
          <w:rFonts w:ascii="微軟正黑體" w:eastAsia="微軟正黑體" w:hAnsi="微軟正黑體" w:hint="default"/>
        </w:rPr>
      </w:pPr>
    </w:p>
    <w:tbl>
      <w:tblPr>
        <w:tblStyle w:val="TableNormal"/>
        <w:tblW w:w="969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816"/>
        <w:gridCol w:w="6881"/>
      </w:tblGrid>
      <w:tr w:rsidR="00D0766F" w:rsidRPr="00EA2414" w:rsidTr="00B61CD8">
        <w:trPr>
          <w:trHeight w:val="282"/>
          <w:tblHeader/>
          <w:jc w:val="center"/>
        </w:trPr>
        <w:tc>
          <w:tcPr>
            <w:tcW w:w="2816" w:type="dxa"/>
            <w:tcBorders>
              <w:top w:val="single" w:sz="2" w:space="0" w:color="000000"/>
              <w:left w:val="single" w:sz="2" w:space="0" w:color="000000"/>
              <w:bottom w:val="single" w:sz="4" w:space="0" w:color="000000"/>
              <w:right w:val="single" w:sz="2" w:space="0" w:color="000000"/>
            </w:tcBorders>
            <w:shd w:val="clear" w:color="auto" w:fill="6EC038" w:themeFill="accent2"/>
            <w:tcMar>
              <w:top w:w="80" w:type="dxa"/>
              <w:left w:w="80" w:type="dxa"/>
              <w:bottom w:w="80" w:type="dxa"/>
              <w:right w:w="80" w:type="dxa"/>
            </w:tcMar>
          </w:tcPr>
          <w:p w:rsidR="00D0766F" w:rsidRPr="00EA2414" w:rsidRDefault="007D6326" w:rsidP="00EA2414">
            <w:pPr>
              <w:pStyle w:val="TableStyle1"/>
              <w:jc w:val="center"/>
              <w:rPr>
                <w:rFonts w:ascii="微軟正黑體" w:eastAsia="微軟正黑體" w:hAnsi="微軟正黑體"/>
                <w:color w:val="FFFFFF" w:themeColor="background1"/>
              </w:rPr>
            </w:pPr>
            <w:r w:rsidRPr="00EA2414">
              <w:rPr>
                <w:rFonts w:ascii="微軟正黑體" w:eastAsia="微軟正黑體" w:hAnsi="微軟正黑體" w:hint="eastAsia"/>
                <w:color w:val="FFFFFF" w:themeColor="background1"/>
                <w:sz w:val="24"/>
                <w:szCs w:val="24"/>
              </w:rPr>
              <w:t>現行方法</w:t>
            </w:r>
          </w:p>
        </w:tc>
        <w:tc>
          <w:tcPr>
            <w:tcW w:w="6881" w:type="dxa"/>
            <w:tcBorders>
              <w:top w:val="single" w:sz="2" w:space="0" w:color="000000"/>
              <w:left w:val="single" w:sz="2" w:space="0" w:color="000000"/>
              <w:bottom w:val="single" w:sz="4" w:space="0" w:color="000000"/>
              <w:right w:val="single" w:sz="2" w:space="0" w:color="000000"/>
            </w:tcBorders>
            <w:shd w:val="clear" w:color="auto" w:fill="6EC038" w:themeFill="accent2"/>
            <w:tcMar>
              <w:top w:w="80" w:type="dxa"/>
              <w:left w:w="80" w:type="dxa"/>
              <w:bottom w:w="80" w:type="dxa"/>
              <w:right w:w="80" w:type="dxa"/>
            </w:tcMar>
          </w:tcPr>
          <w:p w:rsidR="00D0766F" w:rsidRPr="00EA2414" w:rsidRDefault="007D6326" w:rsidP="00EA2414">
            <w:pPr>
              <w:pStyle w:val="TableStyle1"/>
              <w:jc w:val="center"/>
              <w:rPr>
                <w:rFonts w:ascii="微軟正黑體" w:eastAsia="微軟正黑體" w:hAnsi="微軟正黑體"/>
                <w:color w:val="FFFFFF" w:themeColor="background1"/>
              </w:rPr>
            </w:pPr>
            <w:r w:rsidRPr="00EA2414">
              <w:rPr>
                <w:rFonts w:ascii="微軟正黑體" w:eastAsia="微軟正黑體" w:hAnsi="微軟正黑體" w:hint="eastAsia"/>
                <w:color w:val="FFFFFF" w:themeColor="background1"/>
                <w:sz w:val="24"/>
                <w:szCs w:val="24"/>
              </w:rPr>
              <w:t>詳細內容</w:t>
            </w:r>
          </w:p>
        </w:tc>
      </w:tr>
      <w:tr w:rsidR="00D0766F" w:rsidRPr="00C8291E" w:rsidTr="00B61CD8">
        <w:tblPrEx>
          <w:shd w:val="clear" w:color="auto" w:fill="auto"/>
        </w:tblPrEx>
        <w:trPr>
          <w:trHeight w:val="1895"/>
          <w:jc w:val="center"/>
        </w:trPr>
        <w:tc>
          <w:tcPr>
            <w:tcW w:w="2816" w:type="dxa"/>
            <w:tcBorders>
              <w:top w:val="single" w:sz="4" w:space="0" w:color="000000"/>
              <w:left w:val="single" w:sz="2" w:space="0" w:color="000000"/>
              <w:bottom w:val="single" w:sz="2" w:space="0" w:color="000000"/>
              <w:right w:val="single" w:sz="4" w:space="0" w:color="000000"/>
            </w:tcBorders>
            <w:shd w:val="clear" w:color="auto" w:fill="A7DB85" w:themeFill="accent2" w:themeFillTint="99"/>
            <w:tcMar>
              <w:top w:w="80" w:type="dxa"/>
              <w:left w:w="80" w:type="dxa"/>
              <w:bottom w:w="80" w:type="dxa"/>
              <w:right w:w="80" w:type="dxa"/>
            </w:tcMar>
            <w:vAlign w:val="center"/>
          </w:tcPr>
          <w:p w:rsidR="00D0766F" w:rsidRPr="00C8291E" w:rsidRDefault="007D6326" w:rsidP="00EA2414">
            <w:pPr>
              <w:pStyle w:val="TableStyle1"/>
              <w:jc w:val="center"/>
              <w:rPr>
                <w:rFonts w:ascii="微軟正黑體" w:eastAsia="微軟正黑體" w:hAnsi="微軟正黑體"/>
              </w:rPr>
            </w:pPr>
            <w:r w:rsidRPr="00C8291E">
              <w:rPr>
                <w:rFonts w:ascii="微軟正黑體" w:eastAsia="微軟正黑體" w:hAnsi="微軟正黑體" w:hint="eastAsia"/>
                <w:sz w:val="24"/>
                <w:szCs w:val="24"/>
              </w:rPr>
              <w:t>惜食</w:t>
            </w:r>
            <w:r w:rsidR="00EA2414">
              <w:rPr>
                <w:rFonts w:ascii="微軟正黑體" w:eastAsia="微軟正黑體" w:hAnsi="微軟正黑體" w:hint="eastAsia"/>
                <w:sz w:val="24"/>
                <w:szCs w:val="24"/>
              </w:rPr>
              <w:t>香港</w:t>
            </w:r>
            <w:r w:rsidRPr="00C8291E">
              <w:rPr>
                <w:rFonts w:ascii="微軟正黑體" w:eastAsia="微軟正黑體" w:hAnsi="微軟正黑體" w:hint="eastAsia"/>
                <w:sz w:val="24"/>
                <w:szCs w:val="24"/>
              </w:rPr>
              <w:t>運動</w:t>
            </w:r>
          </w:p>
        </w:tc>
        <w:tc>
          <w:tcPr>
            <w:tcW w:w="6881"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0766F" w:rsidRPr="00C8291E" w:rsidRDefault="007D6326">
            <w:pPr>
              <w:pStyle w:val="TableStyle2"/>
              <w:spacing w:line="288" w:lineRule="auto"/>
              <w:rPr>
                <w:rFonts w:ascii="微軟正黑體" w:eastAsia="微軟正黑體" w:hAnsi="微軟正黑體"/>
              </w:rPr>
            </w:pPr>
            <w:r w:rsidRPr="00C8291E">
              <w:rPr>
                <w:rFonts w:ascii="微軟正黑體" w:eastAsia="微軟正黑體" w:hAnsi="微軟正黑體" w:hint="eastAsia"/>
                <w:sz w:val="24"/>
                <w:szCs w:val="24"/>
              </w:rPr>
              <w:t>惜食香港督導委員會的成立，是希望市民及工商業界一同減少廚餘，增加公眾對廚餘問題的關注，並協調政府部門和公共機構以身作</w:t>
            </w:r>
            <w:r w:rsidR="00ED5EA5">
              <w:rPr>
                <w:rFonts w:ascii="微軟正黑體" w:eastAsia="微軟正黑體" w:hAnsi="微軟正黑體" w:hint="eastAsia"/>
                <w:sz w:val="24"/>
                <w:szCs w:val="24"/>
              </w:rPr>
              <w:t>則減少廚餘。委員會將鼓勵市民改變生活習慣，在日常生活中減少廚餘，</w:t>
            </w:r>
            <w:r w:rsidRPr="00C8291E">
              <w:rPr>
                <w:rFonts w:ascii="微軟正黑體" w:eastAsia="微軟正黑體" w:hAnsi="微軟正黑體" w:hint="eastAsia"/>
                <w:sz w:val="24"/>
                <w:szCs w:val="24"/>
              </w:rPr>
              <w:t>在工商業</w:t>
            </w:r>
            <w:r w:rsidR="00977882" w:rsidRPr="00C8291E">
              <w:rPr>
                <w:rFonts w:ascii="微軟正黑體" w:eastAsia="微軟正黑體" w:hAnsi="微軟正黑體" w:hint="eastAsia"/>
                <w:sz w:val="24"/>
                <w:szCs w:val="24"/>
              </w:rPr>
              <w:t>界訂立和推廣減少廚餘的良好工作守則以及促進商戶把有用但多出的食物</w:t>
            </w:r>
            <w:r w:rsidRPr="00C8291E">
              <w:rPr>
                <w:rFonts w:ascii="微軟正黑體" w:eastAsia="微軟正黑體" w:hAnsi="微軟正黑體" w:hint="eastAsia"/>
                <w:sz w:val="24"/>
                <w:szCs w:val="24"/>
              </w:rPr>
              <w:t>送給社區中心或慈善機構，幫助基層。</w:t>
            </w:r>
          </w:p>
        </w:tc>
      </w:tr>
      <w:tr w:rsidR="00D0766F" w:rsidRPr="00C8291E" w:rsidTr="00B61CD8">
        <w:tblPrEx>
          <w:shd w:val="clear" w:color="auto" w:fill="auto"/>
        </w:tblPrEx>
        <w:trPr>
          <w:trHeight w:val="2880"/>
          <w:jc w:val="center"/>
        </w:trPr>
        <w:tc>
          <w:tcPr>
            <w:tcW w:w="2816" w:type="dxa"/>
            <w:tcBorders>
              <w:top w:val="single" w:sz="2" w:space="0" w:color="000000"/>
              <w:left w:val="single" w:sz="2" w:space="0" w:color="000000"/>
              <w:bottom w:val="single" w:sz="2" w:space="0" w:color="000000"/>
              <w:right w:val="single" w:sz="4" w:space="0" w:color="000000"/>
            </w:tcBorders>
            <w:shd w:val="clear" w:color="auto" w:fill="A7DB85" w:themeFill="accent2" w:themeFillTint="99"/>
            <w:tcMar>
              <w:top w:w="80" w:type="dxa"/>
              <w:left w:w="80" w:type="dxa"/>
              <w:bottom w:w="80" w:type="dxa"/>
              <w:right w:w="80" w:type="dxa"/>
            </w:tcMar>
            <w:vAlign w:val="center"/>
          </w:tcPr>
          <w:p w:rsidR="00D0766F" w:rsidRPr="00C8291E" w:rsidRDefault="007D6326">
            <w:pPr>
              <w:pStyle w:val="TableStyle1"/>
              <w:jc w:val="center"/>
              <w:rPr>
                <w:rFonts w:ascii="微軟正黑體" w:eastAsia="微軟正黑體" w:hAnsi="微軟正黑體"/>
              </w:rPr>
            </w:pPr>
            <w:r w:rsidRPr="00C8291E">
              <w:rPr>
                <w:rFonts w:ascii="微軟正黑體" w:eastAsia="微軟正黑體" w:hAnsi="微軟正黑體" w:hint="eastAsia"/>
                <w:sz w:val="24"/>
                <w:szCs w:val="24"/>
              </w:rPr>
              <w:t>廚餘循環再造合作計劃</w:t>
            </w:r>
          </w:p>
        </w:tc>
        <w:tc>
          <w:tcPr>
            <w:tcW w:w="6881"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0766F" w:rsidRPr="00C8291E" w:rsidRDefault="007D6326">
            <w:pPr>
              <w:rPr>
                <w:rFonts w:ascii="微軟正黑體" w:eastAsia="微軟正黑體" w:hAnsi="微軟正黑體"/>
                <w:lang w:eastAsia="zh-TW"/>
              </w:rPr>
            </w:pPr>
            <w:r w:rsidRPr="00C8291E">
              <w:rPr>
                <w:rFonts w:ascii="微軟正黑體" w:eastAsia="微軟正黑體" w:hAnsi="微軟正黑體" w:hint="eastAsia"/>
                <w:lang w:eastAsia="zh-TW"/>
              </w:rPr>
              <w:t>環境保護署由</w:t>
            </w:r>
            <w:r w:rsidRPr="00C8291E">
              <w:rPr>
                <w:rFonts w:ascii="微軟正黑體" w:eastAsia="微軟正黑體" w:hAnsi="微軟正黑體"/>
                <w:lang w:eastAsia="zh-TW"/>
              </w:rPr>
              <w:t xml:space="preserve">2009 </w:t>
            </w:r>
            <w:r w:rsidRPr="00C8291E">
              <w:rPr>
                <w:rFonts w:ascii="微軟正黑體" w:eastAsia="微軟正黑體" w:hAnsi="微軟正黑體" w:hint="eastAsia"/>
                <w:lang w:eastAsia="zh-TW"/>
              </w:rPr>
              <w:t>年起與有關工商業團體一起成立「廚餘循環再造合作計劃」。</w:t>
            </w:r>
          </w:p>
          <w:p w:rsidR="00D0766F" w:rsidRPr="00C8291E" w:rsidRDefault="007D6326">
            <w:pPr>
              <w:pStyle w:val="TableStyle2"/>
              <w:spacing w:line="288" w:lineRule="auto"/>
              <w:rPr>
                <w:rFonts w:ascii="微軟正黑體" w:eastAsia="微軟正黑體" w:hAnsi="微軟正黑體"/>
              </w:rPr>
            </w:pPr>
            <w:r w:rsidRPr="00C8291E">
              <w:rPr>
                <w:rFonts w:ascii="微軟正黑體" w:eastAsia="微軟正黑體" w:hAnsi="微軟正黑體" w:hint="eastAsia"/>
                <w:sz w:val="24"/>
                <w:szCs w:val="24"/>
              </w:rPr>
              <w:t>參與計劃的機構將推行廚餘源頭分類，而收集好的廚餘會運送到在九龍灣的廚餘處理試驗設施進行循環再造。這個設施每年處理</w:t>
            </w:r>
            <w:r w:rsidRPr="00C8291E">
              <w:rPr>
                <w:rFonts w:ascii="微軟正黑體" w:eastAsia="微軟正黑體" w:hAnsi="微軟正黑體"/>
                <w:sz w:val="24"/>
                <w:szCs w:val="24"/>
              </w:rPr>
              <w:t>500</w:t>
            </w:r>
            <w:r w:rsidRPr="00C8291E">
              <w:rPr>
                <w:rFonts w:ascii="微軟正黑體" w:eastAsia="微軟正黑體" w:hAnsi="微軟正黑體" w:hint="eastAsia"/>
                <w:sz w:val="24"/>
                <w:szCs w:val="24"/>
              </w:rPr>
              <w:t>公噸的廚餘並產生約</w:t>
            </w:r>
            <w:r w:rsidRPr="00C8291E">
              <w:rPr>
                <w:rFonts w:ascii="微軟正黑體" w:eastAsia="微軟正黑體" w:hAnsi="微軟正黑體"/>
                <w:sz w:val="24"/>
                <w:szCs w:val="24"/>
              </w:rPr>
              <w:t>100</w:t>
            </w:r>
            <w:r w:rsidRPr="00C8291E">
              <w:rPr>
                <w:rFonts w:ascii="微軟正黑體" w:eastAsia="微軟正黑體" w:hAnsi="微軟正黑體" w:hint="eastAsia"/>
                <w:sz w:val="24"/>
                <w:szCs w:val="24"/>
              </w:rPr>
              <w:t>公噸堆肥。計劃亦包括制訂廚餘管理守則、舉辦研討會和講座等活動，分享減少製造廚餘的經驗、交流廚餘源頭分類方法、探討廚餘減量及回收裝置。</w:t>
            </w:r>
          </w:p>
        </w:tc>
      </w:tr>
      <w:tr w:rsidR="00D0766F" w:rsidRPr="00C8291E" w:rsidTr="00B61CD8">
        <w:tblPrEx>
          <w:shd w:val="clear" w:color="auto" w:fill="auto"/>
        </w:tblPrEx>
        <w:trPr>
          <w:trHeight w:val="1280"/>
          <w:jc w:val="center"/>
        </w:trPr>
        <w:tc>
          <w:tcPr>
            <w:tcW w:w="2816" w:type="dxa"/>
            <w:tcBorders>
              <w:top w:val="single" w:sz="2" w:space="0" w:color="000000"/>
              <w:left w:val="single" w:sz="2" w:space="0" w:color="000000"/>
              <w:bottom w:val="single" w:sz="2" w:space="0" w:color="000000"/>
              <w:right w:val="single" w:sz="4" w:space="0" w:color="000000"/>
            </w:tcBorders>
            <w:shd w:val="clear" w:color="auto" w:fill="A7DB85" w:themeFill="accent2" w:themeFillTint="99"/>
            <w:tcMar>
              <w:top w:w="80" w:type="dxa"/>
              <w:left w:w="80" w:type="dxa"/>
              <w:bottom w:w="80" w:type="dxa"/>
              <w:right w:w="80" w:type="dxa"/>
            </w:tcMar>
            <w:vAlign w:val="center"/>
          </w:tcPr>
          <w:p w:rsidR="00D0766F" w:rsidRPr="00EA2414" w:rsidRDefault="007D6326" w:rsidP="00EA2414">
            <w:pPr>
              <w:pStyle w:val="TableStyle1"/>
              <w:jc w:val="center"/>
              <w:rPr>
                <w:rFonts w:ascii="微軟正黑體" w:eastAsia="微軟正黑體" w:hAnsi="微軟正黑體"/>
                <w:sz w:val="24"/>
                <w:szCs w:val="24"/>
              </w:rPr>
            </w:pPr>
            <w:r w:rsidRPr="00EA2414">
              <w:rPr>
                <w:rFonts w:ascii="微軟正黑體" w:eastAsia="微軟正黑體" w:hAnsi="微軟正黑體" w:hint="eastAsia"/>
                <w:sz w:val="24"/>
                <w:szCs w:val="24"/>
              </w:rPr>
              <w:t>資助購入廚餘設施</w:t>
            </w:r>
          </w:p>
        </w:tc>
        <w:tc>
          <w:tcPr>
            <w:tcW w:w="6881"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0766F" w:rsidRPr="00C8291E" w:rsidRDefault="007D6326" w:rsidP="00BB0B2C">
            <w:pPr>
              <w:pStyle w:val="TableStyle2"/>
              <w:spacing w:line="288" w:lineRule="auto"/>
              <w:rPr>
                <w:rFonts w:ascii="微軟正黑體" w:eastAsia="微軟正黑體" w:hAnsi="微軟正黑體"/>
              </w:rPr>
            </w:pPr>
            <w:r w:rsidRPr="00C8291E">
              <w:rPr>
                <w:rFonts w:ascii="微軟正黑體" w:eastAsia="微軟正黑體" w:hAnsi="微軟正黑體" w:hint="eastAsia"/>
                <w:sz w:val="24"/>
                <w:szCs w:val="24"/>
              </w:rPr>
              <w:t>透過「環境及自然保育基金」，政府由</w:t>
            </w:r>
            <w:r w:rsidRPr="00C8291E">
              <w:rPr>
                <w:rFonts w:ascii="微軟正黑體" w:eastAsia="微軟正黑體" w:hAnsi="微軟正黑體"/>
                <w:sz w:val="24"/>
                <w:szCs w:val="24"/>
              </w:rPr>
              <w:t>2008</w:t>
            </w:r>
            <w:r w:rsidRPr="00C8291E">
              <w:rPr>
                <w:rFonts w:ascii="微軟正黑體" w:eastAsia="微軟正黑體" w:hAnsi="微軟正黑體" w:hint="eastAsia"/>
                <w:sz w:val="24"/>
                <w:szCs w:val="24"/>
              </w:rPr>
              <w:t>年至今資助了接近</w:t>
            </w:r>
            <w:r w:rsidRPr="00C8291E">
              <w:rPr>
                <w:rFonts w:ascii="微軟正黑體" w:eastAsia="微軟正黑體" w:hAnsi="微軟正黑體"/>
                <w:sz w:val="24"/>
                <w:szCs w:val="24"/>
              </w:rPr>
              <w:t>30</w:t>
            </w:r>
            <w:r w:rsidRPr="00C8291E">
              <w:rPr>
                <w:rFonts w:ascii="微軟正黑體" w:eastAsia="微軟正黑體" w:hAnsi="微軟正黑體" w:hint="eastAsia"/>
                <w:sz w:val="24"/>
                <w:szCs w:val="24"/>
              </w:rPr>
              <w:t>個申請機構購買了</w:t>
            </w:r>
            <w:r w:rsidRPr="00C8291E">
              <w:rPr>
                <w:rFonts w:ascii="微軟正黑體" w:eastAsia="微軟正黑體" w:hAnsi="微軟正黑體"/>
                <w:sz w:val="24"/>
                <w:szCs w:val="24"/>
              </w:rPr>
              <w:t>40</w:t>
            </w:r>
            <w:r w:rsidRPr="00C8291E">
              <w:rPr>
                <w:rFonts w:ascii="微軟正黑體" w:eastAsia="微軟正黑體" w:hAnsi="微軟正黑體" w:hint="eastAsia"/>
                <w:sz w:val="24"/>
                <w:szCs w:val="24"/>
              </w:rPr>
              <w:t>多部廚餘處理設施，把廚餘處理為堆肥。</w:t>
            </w:r>
          </w:p>
        </w:tc>
      </w:tr>
    </w:tbl>
    <w:p w:rsidR="00D0766F" w:rsidRPr="00C8291E" w:rsidRDefault="00D0766F">
      <w:pPr>
        <w:pStyle w:val="Body"/>
        <w:rPr>
          <w:rFonts w:ascii="微軟正黑體" w:eastAsia="微軟正黑體" w:hAnsi="微軟正黑體" w:hint="default"/>
        </w:rPr>
      </w:pPr>
    </w:p>
    <w:sectPr w:rsidR="00D0766F" w:rsidRPr="00C8291E" w:rsidSect="00165E08">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6FE" w:rsidRDefault="007736FE">
      <w:r>
        <w:separator/>
      </w:r>
    </w:p>
  </w:endnote>
  <w:endnote w:type="continuationSeparator" w:id="0">
    <w:p w:rsidR="007736FE" w:rsidRDefault="00773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6FE" w:rsidRDefault="007736FE">
      <w:r>
        <w:separator/>
      </w:r>
    </w:p>
  </w:footnote>
  <w:footnote w:type="continuationSeparator" w:id="0">
    <w:p w:rsidR="007736FE" w:rsidRDefault="00773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91E" w:rsidRPr="00235311" w:rsidRDefault="00235311" w:rsidP="00235311">
    <w:pPr>
      <w:pStyle w:val="a6"/>
      <w:wordWrap w:val="0"/>
      <w:jc w:val="right"/>
      <w:rPr>
        <w:rFonts w:ascii="微軟正黑體" w:eastAsia="微軟正黑體" w:hAnsi="微軟正黑體"/>
        <w:sz w:val="16"/>
        <w:szCs w:val="16"/>
        <w:lang w:eastAsia="zh-TW"/>
      </w:rPr>
    </w:pPr>
    <w:r w:rsidRPr="005A1267">
      <w:rPr>
        <w:rFonts w:ascii="微軟正黑體" w:eastAsia="微軟正黑體" w:hAnsi="微軟正黑體" w:hint="eastAsia"/>
        <w:sz w:val="16"/>
        <w:szCs w:val="16"/>
        <w:lang w:eastAsia="zh-TW"/>
      </w:rPr>
      <w:t xml:space="preserve">「咪嘥嘢校園」中學教材  -  </w:t>
    </w:r>
    <w:r w:rsidR="00EC2BC6" w:rsidRPr="00EC2BC6">
      <w:rPr>
        <w:rFonts w:ascii="微軟正黑體" w:eastAsia="微軟正黑體" w:hAnsi="微軟正黑體" w:hint="eastAsia"/>
        <w:sz w:val="16"/>
        <w:szCs w:val="16"/>
        <w:lang w:eastAsia="zh-TW"/>
      </w:rPr>
      <w:t>課程三</w:t>
    </w:r>
    <w:r w:rsidR="00EC2BC6">
      <w:rPr>
        <w:rFonts w:ascii="微軟正黑體" w:eastAsia="微軟正黑體" w:hAnsi="微軟正黑體" w:hint="eastAsia"/>
        <w:sz w:val="16"/>
        <w:szCs w:val="16"/>
        <w:lang w:eastAsia="zh-TW"/>
      </w:rPr>
      <w:t xml:space="preserve"> </w:t>
    </w:r>
    <w:r w:rsidRPr="005A1267">
      <w:rPr>
        <w:rFonts w:ascii="微軟正黑體" w:eastAsia="微軟正黑體" w:hAnsi="微軟正黑體" w:hint="eastAsia"/>
        <w:sz w:val="16"/>
        <w:szCs w:val="16"/>
        <w:lang w:eastAsia="zh-TW"/>
      </w:rPr>
      <w:t xml:space="preserve"> -  </w:t>
    </w:r>
    <w:r>
      <w:rPr>
        <w:rFonts w:ascii="微軟正黑體" w:eastAsia="微軟正黑體" w:hAnsi="微軟正黑體" w:hint="eastAsia"/>
        <w:sz w:val="16"/>
        <w:szCs w:val="16"/>
        <w:lang w:eastAsia="zh-TW"/>
      </w:rPr>
      <w:t>垃圾徵費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2"/>
  </w:compat>
  <w:rsids>
    <w:rsidRoot w:val="00D0766F"/>
    <w:rsid w:val="00040CAE"/>
    <w:rsid w:val="000B29C7"/>
    <w:rsid w:val="001023FD"/>
    <w:rsid w:val="00131E29"/>
    <w:rsid w:val="00165E08"/>
    <w:rsid w:val="00235311"/>
    <w:rsid w:val="00236546"/>
    <w:rsid w:val="002B3788"/>
    <w:rsid w:val="00427EFD"/>
    <w:rsid w:val="00434066"/>
    <w:rsid w:val="004F4EF4"/>
    <w:rsid w:val="00596C3E"/>
    <w:rsid w:val="00687696"/>
    <w:rsid w:val="00716CE9"/>
    <w:rsid w:val="007170F8"/>
    <w:rsid w:val="007177B0"/>
    <w:rsid w:val="007736FE"/>
    <w:rsid w:val="007D6326"/>
    <w:rsid w:val="00977882"/>
    <w:rsid w:val="00A42937"/>
    <w:rsid w:val="00B61CD8"/>
    <w:rsid w:val="00BB0B2C"/>
    <w:rsid w:val="00C8291E"/>
    <w:rsid w:val="00D0766F"/>
    <w:rsid w:val="00EA2414"/>
    <w:rsid w:val="00EC2BC6"/>
    <w:rsid w:val="00ED5EA5"/>
    <w:rsid w:val="00F31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65E08"/>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65E08"/>
    <w:rPr>
      <w:u w:val="single"/>
    </w:rPr>
  </w:style>
  <w:style w:type="table" w:customStyle="1" w:styleId="TableNormal">
    <w:name w:val="Table Normal"/>
    <w:rsid w:val="00165E08"/>
    <w:tblPr>
      <w:tblInd w:w="0" w:type="dxa"/>
      <w:tblCellMar>
        <w:top w:w="0" w:type="dxa"/>
        <w:left w:w="0" w:type="dxa"/>
        <w:bottom w:w="0" w:type="dxa"/>
        <w:right w:w="0" w:type="dxa"/>
      </w:tblCellMar>
    </w:tblPr>
  </w:style>
  <w:style w:type="paragraph" w:customStyle="1" w:styleId="HeaderFooter">
    <w:name w:val="Header &amp; Footer"/>
    <w:rsid w:val="00165E08"/>
    <w:pPr>
      <w:tabs>
        <w:tab w:val="right" w:pos="9020"/>
      </w:tabs>
    </w:pPr>
    <w:rPr>
      <w:rFonts w:ascii="Arial Unicode MS" w:eastAsia="Helvetica" w:hAnsi="Arial Unicode MS" w:cs="Arial Unicode MS" w:hint="eastAsia"/>
      <w:color w:val="000000"/>
      <w:sz w:val="24"/>
      <w:szCs w:val="24"/>
      <w:lang w:val="zh-TW"/>
    </w:rPr>
  </w:style>
  <w:style w:type="paragraph" w:customStyle="1" w:styleId="Body">
    <w:name w:val="Body"/>
    <w:rsid w:val="00165E08"/>
    <w:rPr>
      <w:rFonts w:ascii="Arial Unicode MS" w:eastAsia="Helvetica" w:hAnsi="Arial Unicode MS" w:cs="Arial Unicode MS" w:hint="eastAsia"/>
      <w:color w:val="000000"/>
      <w:sz w:val="22"/>
      <w:szCs w:val="22"/>
      <w:lang w:val="zh-TW"/>
    </w:rPr>
  </w:style>
  <w:style w:type="paragraph" w:customStyle="1" w:styleId="TableStyle1">
    <w:name w:val="Table Style 1"/>
    <w:rsid w:val="00165E08"/>
    <w:rPr>
      <w:rFonts w:ascii="Helvetica" w:eastAsia="Helvetica" w:hAnsi="Helvetica" w:cs="Helvetica"/>
      <w:b/>
      <w:bCs/>
      <w:color w:val="000000"/>
    </w:rPr>
  </w:style>
  <w:style w:type="paragraph" w:customStyle="1" w:styleId="TableStyle2">
    <w:name w:val="Table Style 2"/>
    <w:rsid w:val="00165E08"/>
    <w:rPr>
      <w:rFonts w:ascii="Helvetica" w:eastAsia="Helvetica" w:hAnsi="Helvetica" w:cs="Helvetica"/>
      <w:color w:val="000000"/>
    </w:rPr>
  </w:style>
  <w:style w:type="paragraph" w:styleId="a4">
    <w:name w:val="header"/>
    <w:basedOn w:val="a"/>
    <w:link w:val="a5"/>
    <w:uiPriority w:val="99"/>
    <w:unhideWhenUsed/>
    <w:rsid w:val="00716CE9"/>
    <w:pPr>
      <w:tabs>
        <w:tab w:val="center" w:pos="4153"/>
        <w:tab w:val="right" w:pos="8306"/>
      </w:tabs>
      <w:snapToGrid w:val="0"/>
    </w:pPr>
    <w:rPr>
      <w:sz w:val="20"/>
      <w:szCs w:val="20"/>
    </w:rPr>
  </w:style>
  <w:style w:type="character" w:customStyle="1" w:styleId="a5">
    <w:name w:val="頁首 字元"/>
    <w:basedOn w:val="a0"/>
    <w:link w:val="a4"/>
    <w:uiPriority w:val="99"/>
    <w:rsid w:val="00716CE9"/>
    <w:rPr>
      <w:lang w:eastAsia="en-US"/>
    </w:rPr>
  </w:style>
  <w:style w:type="paragraph" w:styleId="a6">
    <w:name w:val="footer"/>
    <w:basedOn w:val="a"/>
    <w:link w:val="a7"/>
    <w:uiPriority w:val="99"/>
    <w:unhideWhenUsed/>
    <w:rsid w:val="00716CE9"/>
    <w:pPr>
      <w:tabs>
        <w:tab w:val="center" w:pos="4153"/>
        <w:tab w:val="right" w:pos="8306"/>
      </w:tabs>
      <w:snapToGrid w:val="0"/>
    </w:pPr>
    <w:rPr>
      <w:sz w:val="20"/>
      <w:szCs w:val="20"/>
    </w:rPr>
  </w:style>
  <w:style w:type="character" w:customStyle="1" w:styleId="a7">
    <w:name w:val="頁尾 字元"/>
    <w:basedOn w:val="a0"/>
    <w:link w:val="a6"/>
    <w:uiPriority w:val="99"/>
    <w:rsid w:val="00716CE9"/>
    <w:rPr>
      <w:lang w:eastAsia="en-US"/>
    </w:rPr>
  </w:style>
  <w:style w:type="paragraph" w:styleId="a8">
    <w:name w:val="Balloon Text"/>
    <w:basedOn w:val="a"/>
    <w:link w:val="a9"/>
    <w:uiPriority w:val="99"/>
    <w:semiHidden/>
    <w:unhideWhenUsed/>
    <w:rsid w:val="00EA241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A2414"/>
    <w:rPr>
      <w:rFonts w:asciiTheme="majorHAnsi" w:eastAsiaTheme="majorEastAsia" w:hAnsiTheme="majorHAnsi" w:cstheme="maj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Arial Unicode MS" w:eastAsia="Helvetica" w:hAnsi="Arial Unicode MS" w:cs="Arial Unicode MS" w:hint="eastAsia"/>
      <w:color w:val="000000"/>
      <w:sz w:val="24"/>
      <w:szCs w:val="24"/>
      <w:lang w:val="zh-TW"/>
    </w:rPr>
  </w:style>
  <w:style w:type="paragraph" w:customStyle="1" w:styleId="Body">
    <w:name w:val="Body"/>
    <w:rPr>
      <w:rFonts w:ascii="Arial Unicode MS" w:eastAsia="Helvetica" w:hAnsi="Arial Unicode MS" w:cs="Arial Unicode MS" w:hint="eastAsia"/>
      <w:color w:val="000000"/>
      <w:sz w:val="22"/>
      <w:szCs w:val="22"/>
      <w:lang w:val="zh-TW"/>
    </w:rPr>
  </w:style>
  <w:style w:type="paragraph" w:customStyle="1" w:styleId="TableStyle1">
    <w:name w:val="Table Style 1"/>
    <w:rPr>
      <w:rFonts w:ascii="Helvetica" w:eastAsia="Helvetica" w:hAnsi="Helvetica" w:cs="Helvetica"/>
      <w:b/>
      <w:bCs/>
      <w:color w:val="000000"/>
    </w:rPr>
  </w:style>
  <w:style w:type="paragraph" w:customStyle="1" w:styleId="TableStyle2">
    <w:name w:val="Table Style 2"/>
    <w:rPr>
      <w:rFonts w:ascii="Helvetica" w:eastAsia="Helvetica" w:hAnsi="Helvetica" w:cs="Helvetica"/>
      <w:color w:val="000000"/>
    </w:rPr>
  </w:style>
  <w:style w:type="paragraph" w:styleId="a4">
    <w:name w:val="header"/>
    <w:basedOn w:val="a"/>
    <w:link w:val="a5"/>
    <w:uiPriority w:val="99"/>
    <w:unhideWhenUsed/>
    <w:rsid w:val="00716CE9"/>
    <w:pPr>
      <w:tabs>
        <w:tab w:val="center" w:pos="4153"/>
        <w:tab w:val="right" w:pos="8306"/>
      </w:tabs>
      <w:snapToGrid w:val="0"/>
    </w:pPr>
    <w:rPr>
      <w:sz w:val="20"/>
      <w:szCs w:val="20"/>
    </w:rPr>
  </w:style>
  <w:style w:type="character" w:customStyle="1" w:styleId="a5">
    <w:name w:val="頁首 字元"/>
    <w:basedOn w:val="a0"/>
    <w:link w:val="a4"/>
    <w:uiPriority w:val="99"/>
    <w:rsid w:val="00716CE9"/>
    <w:rPr>
      <w:lang w:eastAsia="en-US"/>
    </w:rPr>
  </w:style>
  <w:style w:type="paragraph" w:styleId="a6">
    <w:name w:val="footer"/>
    <w:basedOn w:val="a"/>
    <w:link w:val="a7"/>
    <w:uiPriority w:val="99"/>
    <w:unhideWhenUsed/>
    <w:rsid w:val="00716CE9"/>
    <w:pPr>
      <w:tabs>
        <w:tab w:val="center" w:pos="4153"/>
        <w:tab w:val="right" w:pos="8306"/>
      </w:tabs>
      <w:snapToGrid w:val="0"/>
    </w:pPr>
    <w:rPr>
      <w:sz w:val="20"/>
      <w:szCs w:val="20"/>
    </w:rPr>
  </w:style>
  <w:style w:type="character" w:customStyle="1" w:styleId="a7">
    <w:name w:val="頁尾 字元"/>
    <w:basedOn w:val="a0"/>
    <w:link w:val="a6"/>
    <w:uiPriority w:val="99"/>
    <w:rsid w:val="00716CE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細明體"/>
        <a:cs typeface="Helvetica"/>
      </a:majorFont>
      <a:minorFont>
        <a:latin typeface="Helvetica"/>
        <a:ea typeface="新細明體"/>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2014-06-30T03:13:00Z</dcterms:created>
  <dcterms:modified xsi:type="dcterms:W3CDTF">2014-07-28T10:48:00Z</dcterms:modified>
</cp:coreProperties>
</file>